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20" w:rsidRPr="00B6148F" w:rsidRDefault="00812920" w:rsidP="00812920">
      <w:pPr>
        <w:ind w:right="34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12920" w:rsidRPr="00B6148F" w:rsidRDefault="00812920" w:rsidP="00812920">
      <w:pPr>
        <w:ind w:right="348"/>
        <w:jc w:val="both"/>
        <w:rPr>
          <w:rFonts w:ascii="Arial" w:hAnsi="Arial" w:cs="Arial"/>
          <w:sz w:val="20"/>
          <w:szCs w:val="20"/>
        </w:rPr>
      </w:pPr>
    </w:p>
    <w:p w:rsidR="00812920" w:rsidRPr="00B6148F" w:rsidRDefault="00FD7AC5" w:rsidP="00716F46">
      <w:pPr>
        <w:pStyle w:val="CapNormal"/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CA1640" wp14:editId="0CC462E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82040" cy="1082040"/>
            <wp:effectExtent l="0" t="0" r="3810" b="3810"/>
            <wp:wrapNone/>
            <wp:docPr id="7" name="Image 7" descr="UT1C-logo-FR-RVB_30x30 re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T1C-logo-FR-RVB_30x30 rec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920" w:rsidRDefault="00812920" w:rsidP="00812920">
      <w:pPr>
        <w:jc w:val="center"/>
        <w:rPr>
          <w:rFonts w:ascii="Arial" w:hAnsi="Arial" w:cs="Arial"/>
          <w:sz w:val="20"/>
          <w:szCs w:val="20"/>
        </w:rPr>
      </w:pPr>
    </w:p>
    <w:p w:rsidR="006B15DF" w:rsidRDefault="006B15DF" w:rsidP="00812920">
      <w:pPr>
        <w:jc w:val="center"/>
        <w:rPr>
          <w:rFonts w:ascii="Arial" w:hAnsi="Arial" w:cs="Arial"/>
          <w:sz w:val="20"/>
          <w:szCs w:val="20"/>
        </w:rPr>
      </w:pPr>
    </w:p>
    <w:p w:rsidR="006B15DF" w:rsidRPr="00B6148F" w:rsidRDefault="006B15DF" w:rsidP="00812920">
      <w:pPr>
        <w:jc w:val="center"/>
        <w:rPr>
          <w:rFonts w:ascii="Arial" w:hAnsi="Arial" w:cs="Arial"/>
          <w:sz w:val="20"/>
          <w:szCs w:val="20"/>
        </w:rPr>
      </w:pPr>
    </w:p>
    <w:p w:rsidR="00812920" w:rsidRDefault="00812920" w:rsidP="00812920">
      <w:pPr>
        <w:jc w:val="center"/>
        <w:rPr>
          <w:rFonts w:ascii="Arial" w:hAnsi="Arial" w:cs="Arial"/>
          <w:sz w:val="20"/>
          <w:szCs w:val="20"/>
        </w:rPr>
      </w:pPr>
    </w:p>
    <w:p w:rsidR="00D35022" w:rsidRDefault="00D35022" w:rsidP="00812920">
      <w:pPr>
        <w:jc w:val="center"/>
        <w:rPr>
          <w:rFonts w:ascii="Arial" w:hAnsi="Arial" w:cs="Arial"/>
          <w:sz w:val="20"/>
          <w:szCs w:val="20"/>
        </w:rPr>
      </w:pPr>
    </w:p>
    <w:p w:rsidR="00D35022" w:rsidRPr="00B6148F" w:rsidRDefault="00D35022" w:rsidP="00812920">
      <w:pPr>
        <w:jc w:val="center"/>
        <w:rPr>
          <w:rFonts w:ascii="Arial" w:hAnsi="Arial" w:cs="Arial"/>
          <w:sz w:val="20"/>
          <w:szCs w:val="20"/>
        </w:rPr>
      </w:pPr>
    </w:p>
    <w:p w:rsidR="00812920" w:rsidRPr="00B6148F" w:rsidRDefault="00812920" w:rsidP="00812920">
      <w:pPr>
        <w:jc w:val="center"/>
        <w:rPr>
          <w:rFonts w:ascii="Arial" w:hAnsi="Arial" w:cs="Arial"/>
          <w:sz w:val="20"/>
          <w:szCs w:val="20"/>
        </w:rPr>
      </w:pPr>
    </w:p>
    <w:p w:rsidR="00812920" w:rsidRPr="00B6148F" w:rsidRDefault="00812920" w:rsidP="00812920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B6148F">
        <w:rPr>
          <w:rFonts w:ascii="Arial" w:hAnsi="Arial" w:cs="Arial"/>
          <w:b/>
          <w:caps/>
          <w:sz w:val="20"/>
          <w:szCs w:val="20"/>
        </w:rPr>
        <w:t>Dé</w:t>
      </w:r>
      <w:r w:rsidR="00AF49C1">
        <w:rPr>
          <w:rFonts w:ascii="Arial" w:hAnsi="Arial" w:cs="Arial"/>
          <w:b/>
          <w:caps/>
          <w:sz w:val="20"/>
          <w:szCs w:val="20"/>
        </w:rPr>
        <w:t>cision</w:t>
      </w:r>
    </w:p>
    <w:p w:rsidR="00C8026B" w:rsidRPr="00B6148F" w:rsidRDefault="00C8026B" w:rsidP="00C8026B">
      <w:pPr>
        <w:jc w:val="center"/>
        <w:rPr>
          <w:rFonts w:ascii="Arial" w:hAnsi="Arial" w:cs="Arial"/>
          <w:b/>
          <w:sz w:val="20"/>
          <w:szCs w:val="20"/>
        </w:rPr>
      </w:pPr>
      <w:r w:rsidRPr="00EA442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°CFVU-2020-ESL-</w:t>
      </w:r>
      <w:r w:rsidRPr="00CC13AC">
        <w:rPr>
          <w:rFonts w:ascii="Arial" w:hAnsi="Arial" w:cs="Arial"/>
          <w:b/>
          <w:sz w:val="20"/>
          <w:szCs w:val="20"/>
          <w:highlight w:val="yellow"/>
        </w:rPr>
        <w:t>XX</w:t>
      </w:r>
      <w:r>
        <w:rPr>
          <w:rFonts w:ascii="Arial" w:hAnsi="Arial" w:cs="Arial"/>
          <w:b/>
          <w:sz w:val="20"/>
          <w:szCs w:val="20"/>
        </w:rPr>
        <w:t>-</w:t>
      </w:r>
      <w:r w:rsidR="00207B05">
        <w:rPr>
          <w:rFonts w:ascii="Arial" w:hAnsi="Arial" w:cs="Arial"/>
          <w:b/>
          <w:sz w:val="20"/>
          <w:szCs w:val="20"/>
        </w:rPr>
        <w:t>4</w:t>
      </w:r>
    </w:p>
    <w:p w:rsidR="00812920" w:rsidRPr="00B6148F" w:rsidRDefault="00812920" w:rsidP="00812920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812920" w:rsidRDefault="00D35022" w:rsidP="00502B6F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portant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02B6F">
        <w:rPr>
          <w:rFonts w:ascii="Arial" w:hAnsi="Arial" w:cs="Arial"/>
          <w:b/>
          <w:i/>
          <w:sz w:val="20"/>
          <w:szCs w:val="20"/>
        </w:rPr>
        <w:t>adap</w:t>
      </w:r>
      <w:r w:rsidR="00F76170">
        <w:rPr>
          <w:rFonts w:ascii="Arial" w:hAnsi="Arial" w:cs="Arial"/>
          <w:b/>
          <w:i/>
          <w:sz w:val="20"/>
          <w:szCs w:val="20"/>
        </w:rPr>
        <w:t>tation des modalités de contrôle de</w:t>
      </w:r>
      <w:r w:rsidR="00502B6F">
        <w:rPr>
          <w:rFonts w:ascii="Arial" w:hAnsi="Arial" w:cs="Arial"/>
          <w:b/>
          <w:i/>
          <w:sz w:val="20"/>
          <w:szCs w:val="20"/>
        </w:rPr>
        <w:t>s connaissances</w:t>
      </w:r>
    </w:p>
    <w:p w:rsidR="00F76170" w:rsidRDefault="00EC078B" w:rsidP="00502B6F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pour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l’année universitaire 2019-2020</w:t>
      </w:r>
    </w:p>
    <w:p w:rsidR="00EC078B" w:rsidRPr="00B6148F" w:rsidRDefault="00EC078B" w:rsidP="00502B6F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pendant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la crise sanitaire née de l’épidémie de covid-19</w:t>
      </w:r>
    </w:p>
    <w:p w:rsidR="00812920" w:rsidRPr="00B6148F" w:rsidRDefault="00812920" w:rsidP="00812920">
      <w:pPr>
        <w:jc w:val="both"/>
        <w:rPr>
          <w:rFonts w:ascii="Arial" w:hAnsi="Arial" w:cs="Arial"/>
          <w:sz w:val="20"/>
          <w:szCs w:val="20"/>
        </w:rPr>
      </w:pPr>
    </w:p>
    <w:p w:rsidR="00812920" w:rsidRDefault="00812920" w:rsidP="0081292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148F">
        <w:rPr>
          <w:rFonts w:ascii="Arial" w:hAnsi="Arial" w:cs="Arial"/>
          <w:b/>
          <w:sz w:val="20"/>
          <w:szCs w:val="20"/>
        </w:rPr>
        <w:t>Vu</w:t>
      </w:r>
      <w:r w:rsidRPr="00B6148F">
        <w:rPr>
          <w:rFonts w:ascii="Arial" w:hAnsi="Arial" w:cs="Arial"/>
          <w:sz w:val="20"/>
          <w:szCs w:val="20"/>
        </w:rPr>
        <w:t xml:space="preserve"> le code de l’éducation, notamment </w:t>
      </w:r>
      <w:r w:rsidR="000E0ADF">
        <w:rPr>
          <w:rFonts w:ascii="Arial" w:hAnsi="Arial" w:cs="Arial"/>
          <w:sz w:val="20"/>
          <w:szCs w:val="20"/>
        </w:rPr>
        <w:t>ses</w:t>
      </w:r>
      <w:r w:rsidRPr="00B6148F">
        <w:rPr>
          <w:rFonts w:ascii="Arial" w:hAnsi="Arial" w:cs="Arial"/>
          <w:sz w:val="20"/>
          <w:szCs w:val="20"/>
        </w:rPr>
        <w:t xml:space="preserve"> article</w:t>
      </w:r>
      <w:r w:rsidR="000E0ADF">
        <w:rPr>
          <w:rFonts w:ascii="Arial" w:hAnsi="Arial" w:cs="Arial"/>
          <w:sz w:val="20"/>
          <w:szCs w:val="20"/>
        </w:rPr>
        <w:t>s</w:t>
      </w:r>
      <w:r w:rsidRPr="00B6148F">
        <w:rPr>
          <w:rFonts w:ascii="Arial" w:hAnsi="Arial" w:cs="Arial"/>
          <w:sz w:val="20"/>
          <w:szCs w:val="20"/>
        </w:rPr>
        <w:t xml:space="preserve"> </w:t>
      </w:r>
      <w:r w:rsidR="00E3055C">
        <w:rPr>
          <w:rFonts w:ascii="Arial" w:hAnsi="Arial" w:cs="Arial"/>
          <w:sz w:val="20"/>
          <w:szCs w:val="20"/>
        </w:rPr>
        <w:t>L. 613-1,</w:t>
      </w:r>
      <w:r w:rsidR="000E0ADF">
        <w:rPr>
          <w:rFonts w:ascii="Arial" w:hAnsi="Arial" w:cs="Arial"/>
          <w:sz w:val="20"/>
          <w:szCs w:val="20"/>
        </w:rPr>
        <w:t xml:space="preserve"> L. 712-2 et L. 712-6-1,</w:t>
      </w:r>
    </w:p>
    <w:p w:rsidR="008F3773" w:rsidRPr="00B6148F" w:rsidRDefault="008F3773" w:rsidP="008F377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B6148F">
        <w:rPr>
          <w:rFonts w:ascii="Arial" w:hAnsi="Arial" w:cs="Arial"/>
          <w:b/>
          <w:sz w:val="20"/>
          <w:szCs w:val="20"/>
        </w:rPr>
        <w:t>Vu</w:t>
      </w:r>
      <w:r>
        <w:rPr>
          <w:rFonts w:ascii="Arial" w:hAnsi="Arial" w:cs="Arial"/>
          <w:sz w:val="20"/>
          <w:szCs w:val="20"/>
        </w:rPr>
        <w:t xml:space="preserve"> la loi n° 2020-290 du 23 mars 2020 d’urgence pour faire face à l’épidémie de covid-19</w:t>
      </w:r>
      <w:r w:rsidRPr="00B6148F">
        <w:rPr>
          <w:rFonts w:ascii="Arial" w:hAnsi="Arial" w:cs="Arial"/>
          <w:sz w:val="20"/>
          <w:szCs w:val="20"/>
        </w:rPr>
        <w:t>,</w:t>
      </w:r>
    </w:p>
    <w:p w:rsidR="00812920" w:rsidRDefault="00812920" w:rsidP="0081292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148F">
        <w:rPr>
          <w:rFonts w:ascii="Arial" w:hAnsi="Arial" w:cs="Arial"/>
          <w:b/>
          <w:sz w:val="20"/>
          <w:szCs w:val="20"/>
        </w:rPr>
        <w:t>Vu</w:t>
      </w:r>
      <w:r w:rsidRPr="00B6148F">
        <w:rPr>
          <w:rFonts w:ascii="Arial" w:hAnsi="Arial" w:cs="Arial"/>
          <w:sz w:val="20"/>
          <w:szCs w:val="20"/>
        </w:rPr>
        <w:t xml:space="preserve"> </w:t>
      </w:r>
      <w:r w:rsidR="00EC078B">
        <w:rPr>
          <w:rFonts w:ascii="Arial" w:hAnsi="Arial" w:cs="Arial"/>
          <w:sz w:val="20"/>
          <w:szCs w:val="20"/>
        </w:rPr>
        <w:t>l’ordonnance n° 2020-351 du 27 mars 2020 relative à l’organisation des examens et concours pendant la crise sanitaire née de l’épidémie de covid-19, notamment ses articles 1 à 3</w:t>
      </w:r>
      <w:r w:rsidR="00445A8A">
        <w:rPr>
          <w:rFonts w:ascii="Arial" w:hAnsi="Arial" w:cs="Arial"/>
          <w:sz w:val="20"/>
          <w:szCs w:val="20"/>
        </w:rPr>
        <w:t>,</w:t>
      </w:r>
    </w:p>
    <w:p w:rsidR="000E0ADF" w:rsidRPr="00B6148F" w:rsidRDefault="000E0ADF" w:rsidP="000E0ADF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65777">
        <w:rPr>
          <w:rFonts w:ascii="Arial" w:hAnsi="Arial" w:cs="Arial"/>
          <w:b/>
          <w:sz w:val="20"/>
          <w:szCs w:val="20"/>
        </w:rPr>
        <w:t xml:space="preserve">Vu </w:t>
      </w:r>
      <w:r>
        <w:rPr>
          <w:rFonts w:ascii="Arial" w:hAnsi="Arial" w:cs="Arial"/>
          <w:sz w:val="20"/>
          <w:szCs w:val="20"/>
        </w:rPr>
        <w:t>la charte des examens de l’université Toulouse 1 Capitole,</w:t>
      </w:r>
    </w:p>
    <w:p w:rsidR="000E0ADF" w:rsidRDefault="000E0ADF" w:rsidP="000E0AD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6148F">
        <w:rPr>
          <w:rFonts w:ascii="Arial" w:hAnsi="Arial" w:cs="Arial"/>
          <w:b/>
          <w:sz w:val="20"/>
          <w:szCs w:val="20"/>
        </w:rPr>
        <w:t>Vu</w:t>
      </w:r>
      <w:r w:rsidRPr="00B6148F">
        <w:rPr>
          <w:rFonts w:ascii="Arial" w:hAnsi="Arial" w:cs="Arial"/>
          <w:sz w:val="20"/>
          <w:szCs w:val="20"/>
        </w:rPr>
        <w:t xml:space="preserve"> </w:t>
      </w:r>
      <w:r w:rsidR="00207B05">
        <w:rPr>
          <w:rFonts w:ascii="Arial" w:hAnsi="Arial" w:cs="Arial"/>
          <w:sz w:val="20"/>
          <w:szCs w:val="20"/>
        </w:rPr>
        <w:t>la délibération</w:t>
      </w:r>
      <w:r>
        <w:rPr>
          <w:rFonts w:ascii="Arial" w:hAnsi="Arial" w:cs="Arial"/>
          <w:sz w:val="20"/>
          <w:szCs w:val="20"/>
        </w:rPr>
        <w:t xml:space="preserve"> de la commission de la formation et de la vie universita</w:t>
      </w:r>
      <w:r w:rsidR="00207B05">
        <w:rPr>
          <w:rFonts w:ascii="Arial" w:hAnsi="Arial" w:cs="Arial"/>
          <w:sz w:val="20"/>
          <w:szCs w:val="20"/>
        </w:rPr>
        <w:t xml:space="preserve">ire du 19 mars 2019 relative </w:t>
      </w:r>
      <w:r>
        <w:rPr>
          <w:rFonts w:ascii="Arial" w:hAnsi="Arial" w:cs="Arial"/>
          <w:sz w:val="20"/>
          <w:szCs w:val="20"/>
        </w:rPr>
        <w:t>au régime des études et du contrô</w:t>
      </w:r>
      <w:r w:rsidR="00207B05">
        <w:rPr>
          <w:rFonts w:ascii="Arial" w:hAnsi="Arial" w:cs="Arial"/>
          <w:sz w:val="20"/>
          <w:szCs w:val="20"/>
        </w:rPr>
        <w:t>le des connaissances de la formation suivante</w:t>
      </w:r>
      <w:r>
        <w:rPr>
          <w:rFonts w:ascii="Arial" w:hAnsi="Arial" w:cs="Arial"/>
          <w:sz w:val="20"/>
          <w:szCs w:val="20"/>
        </w:rPr>
        <w:t> :</w:t>
      </w:r>
    </w:p>
    <w:p w:rsidR="000E0ADF" w:rsidRPr="004C4354" w:rsidRDefault="003A0E5D" w:rsidP="004C4354">
      <w:pPr>
        <w:pStyle w:val="Paragrafoelenco"/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LLM in Aviation Law</w:t>
      </w:r>
    </w:p>
    <w:p w:rsidR="00EC078B" w:rsidRDefault="00EC078B" w:rsidP="00EC078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Vu </w:t>
      </w:r>
      <w:r w:rsidRPr="008F3773">
        <w:rPr>
          <w:rFonts w:ascii="Arial" w:hAnsi="Arial" w:cs="Arial"/>
          <w:sz w:val="20"/>
          <w:szCs w:val="20"/>
        </w:rPr>
        <w:t>la délibération de la commission de la formation et de la vie universitaire du 30 avril 2020 portant délégation de pouvoirs à la Présidente l’Université Toulouse 1 Capitole pour l’adoption de mesures présentant un caractère d’urgence et l’adaptation des épreuves des examens</w:t>
      </w:r>
      <w:r w:rsidR="008F3773" w:rsidRPr="008F3773">
        <w:rPr>
          <w:rFonts w:ascii="Arial" w:hAnsi="Arial" w:cs="Arial"/>
          <w:sz w:val="20"/>
          <w:szCs w:val="20"/>
        </w:rPr>
        <w:t>,</w:t>
      </w:r>
    </w:p>
    <w:p w:rsidR="00812920" w:rsidRDefault="00812920" w:rsidP="0081292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57B5A" w:rsidRDefault="00B57B5A" w:rsidP="0081292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E0ADF">
        <w:rPr>
          <w:rFonts w:ascii="Arial" w:hAnsi="Arial" w:cs="Arial"/>
          <w:b/>
          <w:sz w:val="20"/>
          <w:szCs w:val="20"/>
        </w:rPr>
        <w:t>Considérant</w:t>
      </w:r>
      <w:r>
        <w:rPr>
          <w:rFonts w:ascii="Arial" w:hAnsi="Arial" w:cs="Arial"/>
          <w:sz w:val="20"/>
          <w:szCs w:val="20"/>
        </w:rPr>
        <w:t xml:space="preserve"> qu’il convient, compte tenu de l’épidémie de covid-19 et des mesures prises pour en limiter la propagation, d’adapter en urgence les modalités </w:t>
      </w:r>
      <w:r w:rsidR="00E7041D">
        <w:rPr>
          <w:rFonts w:ascii="Arial" w:hAnsi="Arial" w:cs="Arial"/>
          <w:sz w:val="20"/>
          <w:szCs w:val="20"/>
        </w:rPr>
        <w:t>des examens</w:t>
      </w:r>
      <w:r>
        <w:rPr>
          <w:rFonts w:ascii="Arial" w:hAnsi="Arial" w:cs="Arial"/>
          <w:sz w:val="20"/>
          <w:szCs w:val="20"/>
        </w:rPr>
        <w:t xml:space="preserve"> </w:t>
      </w:r>
      <w:r w:rsidR="00E7041D">
        <w:rPr>
          <w:rFonts w:ascii="Arial" w:hAnsi="Arial" w:cs="Arial"/>
          <w:sz w:val="20"/>
          <w:szCs w:val="20"/>
        </w:rPr>
        <w:t>donnant lieu à la</w:t>
      </w:r>
      <w:r>
        <w:rPr>
          <w:rFonts w:ascii="Arial" w:hAnsi="Arial" w:cs="Arial"/>
          <w:sz w:val="20"/>
          <w:szCs w:val="20"/>
        </w:rPr>
        <w:t xml:space="preserve"> délivrance</w:t>
      </w:r>
      <w:r w:rsidR="00E7041D">
        <w:rPr>
          <w:rFonts w:ascii="Arial" w:hAnsi="Arial" w:cs="Arial"/>
          <w:sz w:val="20"/>
          <w:szCs w:val="20"/>
        </w:rPr>
        <w:t xml:space="preserve"> des diplômes</w:t>
      </w:r>
      <w:r w:rsidR="000E0ADF">
        <w:rPr>
          <w:rFonts w:ascii="Arial" w:hAnsi="Arial" w:cs="Arial"/>
          <w:sz w:val="20"/>
          <w:szCs w:val="20"/>
        </w:rPr>
        <w:t xml:space="preserve"> pour l’année universitaire 2019-2020,</w:t>
      </w:r>
    </w:p>
    <w:p w:rsidR="00B57B5A" w:rsidRDefault="00B57B5A" w:rsidP="0081292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12920" w:rsidRPr="00B6148F" w:rsidRDefault="0004099B" w:rsidP="0081292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présidente de l’Université Toulouse 1 Capitole</w:t>
      </w:r>
      <w:r w:rsidR="00812920" w:rsidRPr="00511407">
        <w:rPr>
          <w:rFonts w:ascii="Arial" w:hAnsi="Arial" w:cs="Arial"/>
          <w:b/>
          <w:sz w:val="20"/>
          <w:szCs w:val="20"/>
        </w:rPr>
        <w:t xml:space="preserve"> décide :</w:t>
      </w:r>
    </w:p>
    <w:p w:rsidR="006008CC" w:rsidRDefault="00D65777" w:rsidP="004C4354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Nonobstant toute disposition contraire de la charte des examens de l’Université Toulouse 1 C</w:t>
      </w:r>
      <w:r w:rsidR="004C4354">
        <w:rPr>
          <w:rFonts w:ascii="Arial" w:hAnsi="Arial" w:cs="Arial"/>
          <w:sz w:val="20"/>
          <w:szCs w:val="20"/>
        </w:rPr>
        <w:t>apitole et de la</w:t>
      </w:r>
      <w:r>
        <w:rPr>
          <w:rFonts w:ascii="Arial" w:hAnsi="Arial" w:cs="Arial"/>
          <w:sz w:val="20"/>
          <w:szCs w:val="20"/>
        </w:rPr>
        <w:t xml:space="preserve"> délibération de la commission de la formation et de la vie universitaire susvisée, </w:t>
      </w:r>
      <w:r w:rsidR="00E7041D">
        <w:rPr>
          <w:rFonts w:ascii="Arial" w:hAnsi="Arial" w:cs="Arial"/>
          <w:sz w:val="20"/>
          <w:szCs w:val="20"/>
        </w:rPr>
        <w:t>les épreuves des examens dont les modalités sont fixées par</w:t>
      </w:r>
      <w:r w:rsidR="00736D07">
        <w:rPr>
          <w:rFonts w:ascii="Arial" w:hAnsi="Arial" w:cs="Arial"/>
          <w:sz w:val="20"/>
          <w:szCs w:val="20"/>
        </w:rPr>
        <w:t xml:space="preserve"> cette</w:t>
      </w:r>
      <w:r w:rsidR="00E7041D">
        <w:rPr>
          <w:rFonts w:ascii="Arial" w:hAnsi="Arial" w:cs="Arial"/>
          <w:sz w:val="20"/>
          <w:szCs w:val="20"/>
        </w:rPr>
        <w:t xml:space="preserve"> délibération font l’</w:t>
      </w:r>
      <w:r w:rsidR="00736D07">
        <w:rPr>
          <w:rFonts w:ascii="Arial" w:hAnsi="Arial" w:cs="Arial"/>
          <w:sz w:val="20"/>
          <w:szCs w:val="20"/>
        </w:rPr>
        <w:t>objet des adaptations suivantes :</w:t>
      </w:r>
    </w:p>
    <w:p w:rsidR="00BE6C19" w:rsidRPr="004C4354" w:rsidRDefault="006008CC" w:rsidP="004C4354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 1</w:t>
      </w:r>
      <w:r w:rsidRPr="006008CC">
        <w:rPr>
          <w:rFonts w:ascii="Arial" w:hAnsi="Arial" w:cs="Arial"/>
          <w:b/>
          <w:sz w:val="20"/>
          <w:szCs w:val="20"/>
          <w:vertAlign w:val="superscript"/>
        </w:rPr>
        <w:t>er</w:t>
      </w:r>
      <w:r w:rsidR="0033409B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6435C1">
        <w:rPr>
          <w:rFonts w:ascii="Arial" w:hAnsi="Arial" w:cs="Arial"/>
          <w:b/>
          <w:sz w:val="20"/>
          <w:szCs w:val="20"/>
        </w:rPr>
        <w:t>– P</w:t>
      </w:r>
      <w:r w:rsidR="005058FF">
        <w:rPr>
          <w:rFonts w:ascii="Arial" w:hAnsi="Arial" w:cs="Arial"/>
          <w:b/>
          <w:sz w:val="20"/>
          <w:szCs w:val="20"/>
        </w:rPr>
        <w:t>rincipes d’évaluation</w:t>
      </w:r>
      <w:r w:rsidR="0033409B" w:rsidRPr="0033409B">
        <w:rPr>
          <w:rFonts w:ascii="Arial" w:hAnsi="Arial" w:cs="Arial"/>
          <w:b/>
          <w:sz w:val="20"/>
          <w:szCs w:val="20"/>
        </w:rPr>
        <w:t xml:space="preserve"> </w:t>
      </w:r>
      <w:r w:rsidR="0033409B">
        <w:rPr>
          <w:rFonts w:ascii="Arial" w:hAnsi="Arial" w:cs="Arial"/>
          <w:b/>
          <w:sz w:val="20"/>
          <w:szCs w:val="20"/>
        </w:rPr>
        <w:t>retenus pour la fin d’année 2019/2020</w:t>
      </w:r>
    </w:p>
    <w:p w:rsidR="00F271D1" w:rsidRPr="009A0141" w:rsidRDefault="00F271D1" w:rsidP="00F271D1">
      <w:pPr>
        <w:rPr>
          <w:rFonts w:ascii="Arial" w:hAnsi="Arial" w:cs="Arial"/>
          <w:sz w:val="20"/>
          <w:szCs w:val="20"/>
        </w:rPr>
      </w:pPr>
      <w:r w:rsidRPr="00F271D1">
        <w:rPr>
          <w:rFonts w:ascii="Arial" w:hAnsi="Arial" w:cs="Arial"/>
          <w:sz w:val="20"/>
          <w:szCs w:val="20"/>
        </w:rPr>
        <w:t xml:space="preserve">Les épreuves </w:t>
      </w:r>
      <w:r w:rsidR="00CD05D8">
        <w:rPr>
          <w:rFonts w:ascii="Arial" w:hAnsi="Arial" w:cs="Arial"/>
          <w:sz w:val="20"/>
          <w:szCs w:val="20"/>
        </w:rPr>
        <w:t>du semestre 2</w:t>
      </w:r>
      <w:r w:rsidRPr="00F271D1">
        <w:rPr>
          <w:rFonts w:ascii="Arial" w:hAnsi="Arial" w:cs="Arial"/>
          <w:sz w:val="20"/>
          <w:szCs w:val="20"/>
        </w:rPr>
        <w:t xml:space="preserve"> se dérouleront à </w:t>
      </w:r>
      <w:r w:rsidRPr="009A0141">
        <w:rPr>
          <w:rFonts w:ascii="Arial" w:hAnsi="Arial" w:cs="Arial"/>
          <w:sz w:val="20"/>
          <w:szCs w:val="20"/>
        </w:rPr>
        <w:t>distance sans anonymat.</w:t>
      </w:r>
    </w:p>
    <w:p w:rsidR="00F271D1" w:rsidRPr="009A0141" w:rsidRDefault="00F271D1" w:rsidP="00F271D1">
      <w:pPr>
        <w:rPr>
          <w:rFonts w:ascii="Arial" w:hAnsi="Arial" w:cs="Arial"/>
          <w:sz w:val="20"/>
          <w:szCs w:val="20"/>
        </w:rPr>
      </w:pPr>
    </w:p>
    <w:p w:rsidR="009A0141" w:rsidRPr="00E31F68" w:rsidRDefault="009A0141" w:rsidP="00F271D1">
      <w:pPr>
        <w:rPr>
          <w:rFonts w:ascii="Arial" w:hAnsi="Arial" w:cs="Arial"/>
          <w:b/>
          <w:sz w:val="20"/>
          <w:szCs w:val="20"/>
        </w:rPr>
      </w:pPr>
      <w:r w:rsidRPr="00E31F68">
        <w:rPr>
          <w:rFonts w:ascii="Arial" w:hAnsi="Arial" w:cs="Arial"/>
          <w:b/>
          <w:sz w:val="20"/>
          <w:szCs w:val="20"/>
        </w:rPr>
        <w:t>Convocation.</w:t>
      </w:r>
    </w:p>
    <w:p w:rsidR="009A0141" w:rsidRPr="00E31F68" w:rsidRDefault="009A0141" w:rsidP="004C4354">
      <w:pPr>
        <w:jc w:val="both"/>
        <w:rPr>
          <w:rFonts w:ascii="Arial" w:hAnsi="Arial" w:cs="Arial"/>
          <w:sz w:val="20"/>
          <w:szCs w:val="20"/>
        </w:rPr>
      </w:pPr>
      <w:r w:rsidRPr="00E31F68">
        <w:rPr>
          <w:rFonts w:ascii="Arial" w:hAnsi="Arial" w:cs="Arial"/>
          <w:sz w:val="20"/>
          <w:szCs w:val="20"/>
        </w:rPr>
        <w:t>La convocation des étudiants aux épreuves se fait exclusivement par l’une au moins des modalités suivantes : courriel à l’adresse institutionnelle @ut-capitole.fr, plateforme pédagogique ou publication sur le site Internet de l’</w:t>
      </w:r>
      <w:r w:rsidR="00BE6C19" w:rsidRPr="00E31F68">
        <w:rPr>
          <w:rFonts w:ascii="Arial" w:hAnsi="Arial" w:cs="Arial"/>
          <w:sz w:val="20"/>
          <w:szCs w:val="20"/>
        </w:rPr>
        <w:t xml:space="preserve">université au </w:t>
      </w:r>
      <w:r w:rsidRPr="00E31F68">
        <w:rPr>
          <w:rFonts w:ascii="Arial" w:hAnsi="Arial" w:cs="Arial"/>
          <w:sz w:val="20"/>
          <w:szCs w:val="20"/>
        </w:rPr>
        <w:t xml:space="preserve">moins </w:t>
      </w:r>
      <w:r w:rsidR="00964597" w:rsidRPr="00E31F68">
        <w:rPr>
          <w:rFonts w:ascii="Arial" w:hAnsi="Arial" w:cs="Arial"/>
          <w:sz w:val="20"/>
          <w:szCs w:val="20"/>
        </w:rPr>
        <w:t>6 jours</w:t>
      </w:r>
      <w:r w:rsidRPr="00E31F68">
        <w:rPr>
          <w:rFonts w:ascii="Arial" w:hAnsi="Arial" w:cs="Arial"/>
          <w:sz w:val="20"/>
          <w:szCs w:val="20"/>
        </w:rPr>
        <w:t xml:space="preserve"> calendaire</w:t>
      </w:r>
      <w:r w:rsidR="00964597" w:rsidRPr="00E31F68">
        <w:rPr>
          <w:rFonts w:ascii="Arial" w:hAnsi="Arial" w:cs="Arial"/>
          <w:sz w:val="20"/>
          <w:szCs w:val="20"/>
        </w:rPr>
        <w:t>s</w:t>
      </w:r>
      <w:r w:rsidRPr="00E31F68">
        <w:rPr>
          <w:rFonts w:ascii="Arial" w:hAnsi="Arial" w:cs="Arial"/>
          <w:sz w:val="20"/>
          <w:szCs w:val="20"/>
        </w:rPr>
        <w:t xml:space="preserve"> avant le début des épreuves</w:t>
      </w:r>
      <w:r w:rsidR="00964597" w:rsidRPr="00E31F68">
        <w:rPr>
          <w:rFonts w:ascii="Arial" w:hAnsi="Arial" w:cs="Arial"/>
          <w:sz w:val="20"/>
          <w:szCs w:val="20"/>
        </w:rPr>
        <w:t>.</w:t>
      </w:r>
    </w:p>
    <w:p w:rsidR="009A0141" w:rsidRPr="00E31F68" w:rsidRDefault="009A0141" w:rsidP="00F271D1">
      <w:pPr>
        <w:rPr>
          <w:rFonts w:ascii="Arial" w:hAnsi="Arial" w:cs="Arial"/>
          <w:sz w:val="20"/>
          <w:szCs w:val="20"/>
        </w:rPr>
      </w:pPr>
    </w:p>
    <w:p w:rsidR="009A0141" w:rsidRPr="00E31F68" w:rsidRDefault="009A0141" w:rsidP="00F271D1">
      <w:pPr>
        <w:rPr>
          <w:rFonts w:ascii="Arial" w:hAnsi="Arial" w:cs="Arial"/>
          <w:b/>
          <w:sz w:val="20"/>
          <w:szCs w:val="20"/>
        </w:rPr>
      </w:pPr>
      <w:r w:rsidRPr="00E31F68">
        <w:rPr>
          <w:rFonts w:ascii="Arial" w:hAnsi="Arial" w:cs="Arial"/>
          <w:b/>
          <w:sz w:val="20"/>
          <w:szCs w:val="20"/>
        </w:rPr>
        <w:t>Mesures d’appel.</w:t>
      </w:r>
    </w:p>
    <w:p w:rsidR="009A0141" w:rsidRPr="00E31F68" w:rsidRDefault="009A0141" w:rsidP="00F271D1">
      <w:pPr>
        <w:rPr>
          <w:rFonts w:ascii="Arial" w:hAnsi="Arial" w:cs="Arial"/>
          <w:sz w:val="20"/>
          <w:szCs w:val="20"/>
        </w:rPr>
      </w:pPr>
      <w:r w:rsidRPr="00E31F68">
        <w:rPr>
          <w:rFonts w:ascii="Arial" w:hAnsi="Arial" w:cs="Arial"/>
          <w:sz w:val="20"/>
          <w:szCs w:val="20"/>
        </w:rPr>
        <w:t xml:space="preserve">Pour les épreuves dématérialisées, l’authentification sur la plateforme pédagogique </w:t>
      </w:r>
      <w:r w:rsidR="00B04A13">
        <w:rPr>
          <w:rFonts w:ascii="Arial" w:hAnsi="Arial" w:cs="Arial"/>
          <w:sz w:val="20"/>
          <w:szCs w:val="20"/>
        </w:rPr>
        <w:t xml:space="preserve">ou outil de visioconférence </w:t>
      </w:r>
      <w:r w:rsidRPr="00E31F68">
        <w:rPr>
          <w:rFonts w:ascii="Arial" w:hAnsi="Arial" w:cs="Arial"/>
          <w:sz w:val="20"/>
          <w:szCs w:val="20"/>
        </w:rPr>
        <w:t>vaut appel.</w:t>
      </w:r>
    </w:p>
    <w:p w:rsidR="00BE6C19" w:rsidRPr="006A5298" w:rsidRDefault="00BE6C19" w:rsidP="00F271D1">
      <w:pPr>
        <w:rPr>
          <w:rFonts w:ascii="Arial" w:hAnsi="Arial" w:cs="Arial"/>
          <w:sz w:val="20"/>
          <w:szCs w:val="20"/>
        </w:rPr>
      </w:pPr>
    </w:p>
    <w:p w:rsidR="00F271D1" w:rsidRPr="007801B7" w:rsidRDefault="00F271D1" w:rsidP="00D670C1">
      <w:pPr>
        <w:jc w:val="both"/>
        <w:rPr>
          <w:rFonts w:ascii="Arial" w:hAnsi="Arial" w:cs="Arial"/>
        </w:rPr>
      </w:pPr>
      <w:r w:rsidRPr="006A5298">
        <w:rPr>
          <w:rFonts w:ascii="Arial" w:hAnsi="Arial" w:cs="Arial"/>
          <w:sz w:val="20"/>
          <w:szCs w:val="20"/>
        </w:rPr>
        <w:t xml:space="preserve">La validation des </w:t>
      </w:r>
      <w:r w:rsidR="00534DBD">
        <w:rPr>
          <w:rFonts w:ascii="Arial" w:hAnsi="Arial" w:cs="Arial"/>
          <w:sz w:val="20"/>
          <w:szCs w:val="20"/>
        </w:rPr>
        <w:t xml:space="preserve">enseignements, semestre et </w:t>
      </w:r>
      <w:r w:rsidR="00F20377" w:rsidRPr="006A5298">
        <w:rPr>
          <w:rFonts w:ascii="Arial" w:hAnsi="Arial" w:cs="Arial"/>
          <w:sz w:val="20"/>
          <w:szCs w:val="20"/>
        </w:rPr>
        <w:t xml:space="preserve">année </w:t>
      </w:r>
      <w:r w:rsidRPr="006A5298">
        <w:rPr>
          <w:rFonts w:ascii="Arial" w:hAnsi="Arial" w:cs="Arial"/>
          <w:sz w:val="20"/>
          <w:szCs w:val="20"/>
        </w:rPr>
        <w:t xml:space="preserve">se </w:t>
      </w:r>
      <w:r w:rsidR="007801B7">
        <w:rPr>
          <w:rFonts w:ascii="Arial" w:hAnsi="Arial" w:cs="Arial"/>
          <w:sz w:val="20"/>
          <w:szCs w:val="20"/>
        </w:rPr>
        <w:t>fera</w:t>
      </w:r>
      <w:r w:rsidRPr="009A0141">
        <w:rPr>
          <w:rFonts w:ascii="Arial" w:hAnsi="Arial" w:cs="Arial"/>
          <w:sz w:val="20"/>
          <w:szCs w:val="20"/>
        </w:rPr>
        <w:t xml:space="preserve"> sur </w:t>
      </w:r>
      <w:r w:rsidR="00534DBD" w:rsidRPr="009A0141">
        <w:rPr>
          <w:rFonts w:ascii="Arial" w:hAnsi="Arial" w:cs="Arial"/>
          <w:sz w:val="20"/>
          <w:szCs w:val="20"/>
        </w:rPr>
        <w:t xml:space="preserve">la base </w:t>
      </w:r>
      <w:r w:rsidR="00534DBD">
        <w:rPr>
          <w:rFonts w:ascii="Arial" w:hAnsi="Arial" w:cs="Arial"/>
          <w:sz w:val="20"/>
          <w:szCs w:val="20"/>
        </w:rPr>
        <w:t xml:space="preserve">d’une combinaison </w:t>
      </w:r>
      <w:r w:rsidR="00534DBD" w:rsidRPr="009A0141">
        <w:rPr>
          <w:rFonts w:ascii="Arial" w:hAnsi="Arial" w:cs="Arial"/>
          <w:sz w:val="20"/>
          <w:szCs w:val="20"/>
        </w:rPr>
        <w:t xml:space="preserve">des </w:t>
      </w:r>
      <w:r w:rsidR="00534DBD">
        <w:rPr>
          <w:rFonts w:ascii="Arial" w:hAnsi="Arial" w:cs="Arial"/>
          <w:sz w:val="20"/>
          <w:szCs w:val="20"/>
        </w:rPr>
        <w:t>évaluations</w:t>
      </w:r>
      <w:r w:rsidR="00534DBD" w:rsidRPr="009A0141">
        <w:rPr>
          <w:rFonts w:ascii="Arial" w:hAnsi="Arial" w:cs="Arial"/>
          <w:sz w:val="20"/>
          <w:szCs w:val="20"/>
        </w:rPr>
        <w:t xml:space="preserve"> organisées avant le confinement</w:t>
      </w:r>
      <w:r w:rsidR="00534DBD">
        <w:rPr>
          <w:rFonts w:ascii="Arial" w:hAnsi="Arial" w:cs="Arial"/>
        </w:rPr>
        <w:t xml:space="preserve"> </w:t>
      </w:r>
      <w:r w:rsidR="000862EC" w:rsidRPr="000862EC">
        <w:rPr>
          <w:rFonts w:ascii="Arial" w:hAnsi="Arial" w:cs="Arial"/>
          <w:sz w:val="20"/>
          <w:szCs w:val="20"/>
        </w:rPr>
        <w:t xml:space="preserve">pour le premier semestre, </w:t>
      </w:r>
      <w:r w:rsidR="00534DBD" w:rsidRPr="00534DBD">
        <w:rPr>
          <w:rFonts w:ascii="Arial" w:hAnsi="Arial" w:cs="Arial"/>
          <w:sz w:val="20"/>
          <w:szCs w:val="20"/>
        </w:rPr>
        <w:t xml:space="preserve">et des </w:t>
      </w:r>
      <w:r w:rsidR="00534DBD">
        <w:rPr>
          <w:rFonts w:ascii="Arial" w:hAnsi="Arial" w:cs="Arial"/>
          <w:sz w:val="20"/>
          <w:szCs w:val="20"/>
        </w:rPr>
        <w:t>épreuves prévues initialement pour le semestre 2, organisées à distance.</w:t>
      </w:r>
    </w:p>
    <w:p w:rsidR="00BE6C19" w:rsidRDefault="00BE6C19" w:rsidP="00F271D1">
      <w:pPr>
        <w:ind w:hanging="360"/>
        <w:rPr>
          <w:rFonts w:ascii="Arial" w:hAnsi="Arial" w:cs="Arial"/>
          <w:sz w:val="20"/>
          <w:szCs w:val="20"/>
        </w:rPr>
      </w:pPr>
    </w:p>
    <w:p w:rsidR="00BE6C19" w:rsidRPr="00E31F68" w:rsidRDefault="00BE6C19" w:rsidP="00CE2038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E31F68">
        <w:rPr>
          <w:rFonts w:ascii="Arial" w:hAnsi="Arial" w:cs="Arial"/>
          <w:sz w:val="20"/>
          <w:szCs w:val="20"/>
        </w:rPr>
        <w:t>Conformément à l’ordonnance n° 2020-351 du 27 mars 2020 relative à l’organisation des examens et concours pendant la crise sanitaire née de l’épidémie de covid-19, les locaux de l’établissement resteront inaccessibles aux étudiants.</w:t>
      </w:r>
    </w:p>
    <w:p w:rsidR="00B0204B" w:rsidRPr="009A0141" w:rsidRDefault="00B0204B" w:rsidP="00F271D1">
      <w:pPr>
        <w:rPr>
          <w:rFonts w:ascii="Arial" w:hAnsi="Arial" w:cs="Arial"/>
          <w:sz w:val="20"/>
          <w:szCs w:val="20"/>
        </w:rPr>
      </w:pPr>
    </w:p>
    <w:p w:rsidR="0033409B" w:rsidRPr="009A0141" w:rsidRDefault="0033409B" w:rsidP="0033409B">
      <w:pPr>
        <w:rPr>
          <w:rFonts w:ascii="Arial" w:hAnsi="Arial" w:cs="Arial"/>
          <w:b/>
          <w:sz w:val="20"/>
          <w:szCs w:val="20"/>
        </w:rPr>
      </w:pPr>
      <w:r w:rsidRPr="009A0141">
        <w:rPr>
          <w:rFonts w:ascii="Arial" w:hAnsi="Arial" w:cs="Arial"/>
          <w:b/>
          <w:sz w:val="20"/>
          <w:szCs w:val="20"/>
        </w:rPr>
        <w:t xml:space="preserve">Article 2 - </w:t>
      </w:r>
      <w:r w:rsidR="0057355F" w:rsidRPr="009A0141">
        <w:rPr>
          <w:rFonts w:ascii="Arial" w:hAnsi="Arial" w:cs="Arial"/>
          <w:b/>
          <w:sz w:val="20"/>
          <w:szCs w:val="20"/>
        </w:rPr>
        <w:t>Condition</w:t>
      </w:r>
      <w:r w:rsidR="000C5FC2">
        <w:rPr>
          <w:rFonts w:ascii="Arial" w:hAnsi="Arial" w:cs="Arial"/>
          <w:b/>
          <w:sz w:val="20"/>
          <w:szCs w:val="20"/>
        </w:rPr>
        <w:t>s</w:t>
      </w:r>
      <w:r w:rsidR="0057355F" w:rsidRPr="009A0141">
        <w:rPr>
          <w:rFonts w:ascii="Arial" w:hAnsi="Arial" w:cs="Arial"/>
          <w:b/>
          <w:sz w:val="20"/>
          <w:szCs w:val="20"/>
        </w:rPr>
        <w:t xml:space="preserve"> d'organ</w:t>
      </w:r>
      <w:r w:rsidR="00CE2038">
        <w:rPr>
          <w:rFonts w:ascii="Arial" w:hAnsi="Arial" w:cs="Arial"/>
          <w:b/>
          <w:sz w:val="20"/>
          <w:szCs w:val="20"/>
        </w:rPr>
        <w:t>isation et de validation des UE</w:t>
      </w:r>
      <w:r w:rsidR="000C5FC2">
        <w:rPr>
          <w:rFonts w:ascii="Arial" w:hAnsi="Arial" w:cs="Arial"/>
          <w:b/>
          <w:sz w:val="20"/>
          <w:szCs w:val="20"/>
        </w:rPr>
        <w:t xml:space="preserve"> et de la session unique du semestre 2</w:t>
      </w:r>
    </w:p>
    <w:p w:rsidR="00415EB5" w:rsidRPr="006A5298" w:rsidRDefault="00415EB5" w:rsidP="0033409B">
      <w:pPr>
        <w:rPr>
          <w:rFonts w:ascii="Arial" w:hAnsi="Arial" w:cs="Arial"/>
          <w:b/>
          <w:sz w:val="20"/>
          <w:szCs w:val="20"/>
        </w:rPr>
      </w:pPr>
    </w:p>
    <w:p w:rsidR="00E31F68" w:rsidRPr="000862EC" w:rsidRDefault="00F20377" w:rsidP="000862EC">
      <w:pPr>
        <w:rPr>
          <w:rFonts w:ascii="Arial" w:hAnsi="Arial" w:cs="Arial"/>
          <w:sz w:val="20"/>
          <w:szCs w:val="20"/>
        </w:rPr>
      </w:pPr>
      <w:r w:rsidRPr="000862EC">
        <w:rPr>
          <w:rFonts w:ascii="Arial" w:hAnsi="Arial" w:cs="Arial"/>
          <w:sz w:val="20"/>
          <w:szCs w:val="20"/>
        </w:rPr>
        <w:t xml:space="preserve">Les </w:t>
      </w:r>
      <w:r w:rsidR="00531293" w:rsidRPr="000862EC">
        <w:rPr>
          <w:rFonts w:ascii="Arial" w:hAnsi="Arial" w:cs="Arial"/>
          <w:sz w:val="20"/>
          <w:szCs w:val="20"/>
        </w:rPr>
        <w:t xml:space="preserve">modalités sont inchangées mais se dérouleront à distance. Elles </w:t>
      </w:r>
      <w:r w:rsidRPr="000862EC">
        <w:rPr>
          <w:rFonts w:ascii="Arial" w:hAnsi="Arial" w:cs="Arial"/>
          <w:sz w:val="20"/>
          <w:szCs w:val="20"/>
        </w:rPr>
        <w:t xml:space="preserve">sont </w:t>
      </w:r>
      <w:r w:rsidR="00531293" w:rsidRPr="000862EC">
        <w:rPr>
          <w:rFonts w:ascii="Arial" w:hAnsi="Arial" w:cs="Arial"/>
          <w:sz w:val="20"/>
          <w:szCs w:val="20"/>
        </w:rPr>
        <w:t>rappelée</w:t>
      </w:r>
      <w:r w:rsidRPr="000862EC">
        <w:rPr>
          <w:rFonts w:ascii="Arial" w:hAnsi="Arial" w:cs="Arial"/>
          <w:sz w:val="20"/>
          <w:szCs w:val="20"/>
        </w:rPr>
        <w:t xml:space="preserve">s dans le tableau en annexe. </w:t>
      </w:r>
    </w:p>
    <w:p w:rsidR="005361DE" w:rsidRPr="0033409B" w:rsidRDefault="005361DE" w:rsidP="0033409B">
      <w:pPr>
        <w:rPr>
          <w:rFonts w:ascii="Arial" w:hAnsi="Arial" w:cs="Arial"/>
          <w:sz w:val="20"/>
          <w:szCs w:val="20"/>
        </w:rPr>
      </w:pPr>
    </w:p>
    <w:p w:rsidR="00E7041D" w:rsidRPr="00B6148F" w:rsidRDefault="00D46A88" w:rsidP="00444991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FC0193">
        <w:rPr>
          <w:rFonts w:ascii="Arial" w:hAnsi="Arial" w:cs="Arial"/>
          <w:b/>
          <w:sz w:val="20"/>
          <w:szCs w:val="20"/>
        </w:rPr>
        <w:t xml:space="preserve">rticle </w:t>
      </w:r>
      <w:r w:rsidR="00CE2038">
        <w:rPr>
          <w:rFonts w:ascii="Arial" w:hAnsi="Arial" w:cs="Arial"/>
          <w:b/>
          <w:sz w:val="20"/>
          <w:szCs w:val="20"/>
        </w:rPr>
        <w:t>3</w:t>
      </w:r>
      <w:r w:rsidR="005361DE">
        <w:rPr>
          <w:rFonts w:ascii="Arial" w:hAnsi="Arial" w:cs="Arial"/>
          <w:b/>
          <w:sz w:val="20"/>
          <w:szCs w:val="20"/>
        </w:rPr>
        <w:t>.</w:t>
      </w:r>
    </w:p>
    <w:p w:rsidR="00D46A88" w:rsidRDefault="00444991" w:rsidP="005361D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présente décision sera publiée sur le site internet de l’université Toulouse 1 Capitole</w:t>
      </w:r>
      <w:r w:rsidR="00183F5A">
        <w:rPr>
          <w:rFonts w:ascii="Arial" w:hAnsi="Arial" w:cs="Arial"/>
          <w:sz w:val="20"/>
          <w:szCs w:val="20"/>
        </w:rPr>
        <w:t xml:space="preserve"> deux semaines au moins avant le</w:t>
      </w:r>
      <w:r w:rsidR="005361DE">
        <w:rPr>
          <w:rFonts w:ascii="Arial" w:hAnsi="Arial" w:cs="Arial"/>
          <w:sz w:val="20"/>
          <w:szCs w:val="20"/>
        </w:rPr>
        <w:t xml:space="preserve"> début des épreuve</w:t>
      </w:r>
      <w:r w:rsidR="00435975">
        <w:rPr>
          <w:rFonts w:ascii="Arial" w:hAnsi="Arial" w:cs="Arial"/>
          <w:sz w:val="20"/>
          <w:szCs w:val="20"/>
        </w:rPr>
        <w:t>s</w:t>
      </w:r>
    </w:p>
    <w:p w:rsidR="00812920" w:rsidRPr="00B6148F" w:rsidRDefault="00812920" w:rsidP="005361DE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614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A68B6" wp14:editId="5110088D">
                <wp:simplePos x="0" y="0"/>
                <wp:positionH relativeFrom="column">
                  <wp:posOffset>3110230</wp:posOffset>
                </wp:positionH>
                <wp:positionV relativeFrom="paragraph">
                  <wp:posOffset>160655</wp:posOffset>
                </wp:positionV>
                <wp:extent cx="3009900" cy="1943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5C1" w:rsidRDefault="006435C1" w:rsidP="005361D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Fait à Toulouse, le </w:t>
                            </w:r>
                            <w:r w:rsidR="00CE2038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30 avril 2020</w:t>
                            </w:r>
                          </w:p>
                          <w:p w:rsidR="006435C1" w:rsidRPr="00BE3856" w:rsidRDefault="006435C1" w:rsidP="008129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BE385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 présidente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,</w:t>
                            </w:r>
                          </w:p>
                          <w:p w:rsidR="006435C1" w:rsidRPr="00BE3856" w:rsidRDefault="006435C1" w:rsidP="005361DE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435C1" w:rsidRPr="00BE3856" w:rsidRDefault="006435C1" w:rsidP="008129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435C1" w:rsidRDefault="006435C1" w:rsidP="008129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435C1" w:rsidRDefault="006435C1" w:rsidP="008129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Corinne MASCALA</w:t>
                            </w:r>
                          </w:p>
                          <w:p w:rsidR="006435C1" w:rsidRDefault="006435C1" w:rsidP="008129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6435C1" w:rsidRPr="00BE3856" w:rsidRDefault="006435C1" w:rsidP="008129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A68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4.9pt;margin-top:12.65pt;width:23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" filled="f" stroked="f" strokeweight=".5pt">
                <v:textbox>
                  <w:txbxContent>
                    <w:p w:rsidR="006435C1" w:rsidRDefault="006435C1" w:rsidP="005361DE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Fait à Toulouse, le </w:t>
                      </w:r>
                      <w:r w:rsidR="00CE2038">
                        <w:rPr>
                          <w:rFonts w:ascii="Arial" w:hAnsi="Arial"/>
                          <w:b/>
                          <w:sz w:val="22"/>
                        </w:rPr>
                        <w:t>30 avril 2020</w:t>
                      </w:r>
                    </w:p>
                    <w:p w:rsidR="006435C1" w:rsidRPr="00BE3856" w:rsidRDefault="006435C1" w:rsidP="0081292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BE3856">
                        <w:rPr>
                          <w:rFonts w:ascii="Arial" w:hAnsi="Arial"/>
                          <w:b/>
                          <w:sz w:val="22"/>
                        </w:rPr>
                        <w:t>La présidente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,</w:t>
                      </w:r>
                    </w:p>
                    <w:p w:rsidR="006435C1" w:rsidRPr="00BE3856" w:rsidRDefault="006435C1" w:rsidP="005361DE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435C1" w:rsidRPr="00BE3856" w:rsidRDefault="006435C1" w:rsidP="0081292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435C1" w:rsidRDefault="006435C1" w:rsidP="0081292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435C1" w:rsidRDefault="006435C1" w:rsidP="0081292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Corinne MASCALA</w:t>
                      </w:r>
                    </w:p>
                    <w:p w:rsidR="006435C1" w:rsidRDefault="006435C1" w:rsidP="0081292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6435C1" w:rsidRPr="00BE3856" w:rsidRDefault="006435C1" w:rsidP="00812920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920" w:rsidRDefault="005361DE" w:rsidP="008129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Annexe : détail des modalités d’examens</w:t>
      </w:r>
    </w:p>
    <w:p w:rsidR="002A2CD7" w:rsidRDefault="002A2CD7" w:rsidP="00812920">
      <w:pPr>
        <w:rPr>
          <w:rFonts w:ascii="Arial" w:hAnsi="Arial" w:cs="Arial"/>
          <w:sz w:val="20"/>
          <w:szCs w:val="20"/>
        </w:rPr>
      </w:pPr>
    </w:p>
    <w:p w:rsidR="00D46A88" w:rsidRDefault="00D46A88" w:rsidP="00812920">
      <w:pPr>
        <w:rPr>
          <w:rFonts w:ascii="Arial" w:hAnsi="Arial" w:cs="Arial"/>
          <w:sz w:val="20"/>
          <w:szCs w:val="20"/>
        </w:rPr>
      </w:pPr>
    </w:p>
    <w:p w:rsidR="00D46A88" w:rsidRDefault="00D46A88" w:rsidP="00812920">
      <w:pPr>
        <w:rPr>
          <w:rFonts w:ascii="Arial" w:hAnsi="Arial" w:cs="Arial"/>
          <w:sz w:val="20"/>
          <w:szCs w:val="20"/>
        </w:rPr>
      </w:pPr>
    </w:p>
    <w:p w:rsidR="00D46A88" w:rsidRDefault="00D46A88" w:rsidP="00812920">
      <w:pPr>
        <w:rPr>
          <w:rFonts w:ascii="Arial" w:hAnsi="Arial" w:cs="Arial"/>
          <w:sz w:val="20"/>
          <w:szCs w:val="20"/>
        </w:rPr>
      </w:pPr>
    </w:p>
    <w:p w:rsidR="005C6C0B" w:rsidRDefault="005C6C0B" w:rsidP="005C6C0B">
      <w:pPr>
        <w:ind w:left="2832" w:firstLine="708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5C6C0B" w:rsidRPr="004C6BF5" w:rsidRDefault="005C6C0B" w:rsidP="005C6C0B">
      <w:pPr>
        <w:rPr>
          <w:rFonts w:ascii="Arial" w:hAnsi="Arial" w:cs="Arial"/>
          <w:color w:val="000000"/>
          <w:sz w:val="22"/>
          <w:szCs w:val="22"/>
        </w:rPr>
        <w:sectPr w:rsidR="005C6C0B" w:rsidRPr="004C6BF5" w:rsidSect="006435C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: annexe</w:t>
      </w:r>
    </w:p>
    <w:p w:rsidR="005C6C0B" w:rsidRDefault="005C6C0B" w:rsidP="005C6C0B">
      <w:pPr>
        <w:pStyle w:val="CapPiedDePageL1"/>
        <w:ind w:left="-284"/>
        <w:jc w:val="center"/>
        <w:rPr>
          <w:color w:val="auto"/>
        </w:rPr>
      </w:pPr>
    </w:p>
    <w:p w:rsidR="000B34A5" w:rsidRDefault="000B34A5" w:rsidP="000B34A5">
      <w:pPr>
        <w:rPr>
          <w:rFonts w:ascii="Arial" w:hAnsi="Arial" w:cs="Arial"/>
          <w:sz w:val="20"/>
          <w:szCs w:val="20"/>
        </w:rPr>
      </w:pPr>
    </w:p>
    <w:p w:rsidR="000B34A5" w:rsidRDefault="000B34A5" w:rsidP="000B34A5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1559"/>
        <w:gridCol w:w="3020"/>
        <w:gridCol w:w="1184"/>
        <w:gridCol w:w="1763"/>
        <w:gridCol w:w="2681"/>
        <w:gridCol w:w="1702"/>
        <w:gridCol w:w="1240"/>
      </w:tblGrid>
      <w:tr w:rsidR="005654E5" w:rsidTr="00B30B39">
        <w:tc>
          <w:tcPr>
            <w:tcW w:w="302" w:type="pct"/>
          </w:tcPr>
          <w:p w:rsidR="00B62C8D" w:rsidRDefault="00B62C8D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557" w:type="pct"/>
          </w:tcPr>
          <w:p w:rsidR="00B62C8D" w:rsidRDefault="00B62C8D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</w:t>
            </w:r>
          </w:p>
        </w:tc>
        <w:tc>
          <w:tcPr>
            <w:tcW w:w="1079" w:type="pct"/>
          </w:tcPr>
          <w:p w:rsidR="00B62C8D" w:rsidRDefault="00B62C8D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Enseignement</w:t>
            </w:r>
          </w:p>
        </w:tc>
        <w:tc>
          <w:tcPr>
            <w:tcW w:w="423" w:type="pct"/>
          </w:tcPr>
          <w:p w:rsidR="00B62C8D" w:rsidRDefault="00B62C8D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Obligatoire</w:t>
            </w:r>
          </w:p>
        </w:tc>
        <w:tc>
          <w:tcPr>
            <w:tcW w:w="630" w:type="pct"/>
          </w:tcPr>
          <w:p w:rsidR="00B62C8D" w:rsidRDefault="00B62C8D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crédits ECTS</w:t>
            </w:r>
          </w:p>
        </w:tc>
        <w:tc>
          <w:tcPr>
            <w:tcW w:w="958" w:type="pct"/>
          </w:tcPr>
          <w:p w:rsidR="00B62C8D" w:rsidRDefault="00B62C8D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Nouvelle modalité d’évaluation </w:t>
            </w:r>
          </w:p>
        </w:tc>
        <w:tc>
          <w:tcPr>
            <w:tcW w:w="608" w:type="pct"/>
          </w:tcPr>
          <w:p w:rsidR="00B62C8D" w:rsidRDefault="00B62C8D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Points enseignements</w:t>
            </w:r>
          </w:p>
        </w:tc>
        <w:tc>
          <w:tcPr>
            <w:tcW w:w="443" w:type="pct"/>
          </w:tcPr>
          <w:p w:rsidR="00B62C8D" w:rsidRDefault="00B62C8D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 :</w:t>
            </w:r>
          </w:p>
          <w:p w:rsidR="00B62C8D" w:rsidRDefault="00B62C8D" w:rsidP="00B62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4E5" w:rsidTr="00B30B39">
        <w:tc>
          <w:tcPr>
            <w:tcW w:w="302" w:type="pct"/>
          </w:tcPr>
          <w:p w:rsidR="00B62C8D" w:rsidRDefault="007A2C1E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B62C8D" w:rsidRDefault="005654E5" w:rsidP="00071D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</w:t>
            </w:r>
            <w:r w:rsidR="008B3E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9" w:type="pct"/>
          </w:tcPr>
          <w:p w:rsidR="00B62C8D" w:rsidRDefault="00BF20BB" w:rsidP="00071D2E">
            <w:pPr>
              <w:rPr>
                <w:rFonts w:ascii="Arial" w:hAnsi="Arial" w:cs="Arial"/>
                <w:sz w:val="20"/>
                <w:szCs w:val="20"/>
              </w:rPr>
            </w:pPr>
            <w:r w:rsidRPr="00BF20BB">
              <w:rPr>
                <w:rFonts w:ascii="Arial" w:hAnsi="Arial" w:cs="Arial"/>
                <w:sz w:val="20"/>
                <w:szCs w:val="20"/>
              </w:rPr>
              <w:t>Aerospace legal framework</w:t>
            </w:r>
          </w:p>
        </w:tc>
        <w:tc>
          <w:tcPr>
            <w:tcW w:w="423" w:type="pct"/>
          </w:tcPr>
          <w:p w:rsidR="00B62C8D" w:rsidRDefault="008B3EEB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30" w:type="pct"/>
          </w:tcPr>
          <w:p w:rsidR="00B62C8D" w:rsidRDefault="008F1CD3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8" w:type="pct"/>
          </w:tcPr>
          <w:p w:rsidR="00B62C8D" w:rsidRDefault="00EF60B6" w:rsidP="00EF6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conservation évaluation semestre 1</w:t>
            </w:r>
          </w:p>
        </w:tc>
        <w:tc>
          <w:tcPr>
            <w:tcW w:w="608" w:type="pct"/>
          </w:tcPr>
          <w:p w:rsidR="00B62C8D" w:rsidRDefault="00884387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43" w:type="pct"/>
          </w:tcPr>
          <w:p w:rsidR="00B62C8D" w:rsidRDefault="00884387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</w:t>
            </w:r>
          </w:p>
        </w:tc>
      </w:tr>
      <w:tr w:rsidR="005654E5" w:rsidTr="00B30B39">
        <w:tc>
          <w:tcPr>
            <w:tcW w:w="302" w:type="pct"/>
          </w:tcPr>
          <w:p w:rsidR="00B62C8D" w:rsidRDefault="007A2C1E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B62C8D" w:rsidRPr="00BF20BB" w:rsidRDefault="005654E5" w:rsidP="00071D2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20BB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BF20BB">
              <w:rPr>
                <w:rFonts w:ascii="Arial" w:hAnsi="Arial" w:cs="Arial"/>
                <w:sz w:val="20"/>
                <w:szCs w:val="20"/>
              </w:rPr>
              <w:t xml:space="preserve"> module </w:t>
            </w:r>
            <w:r w:rsidR="008B3EEB" w:rsidRPr="00BF20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9" w:type="pct"/>
          </w:tcPr>
          <w:p w:rsidR="00B62C8D" w:rsidRPr="00BF20BB" w:rsidRDefault="00BF20BB" w:rsidP="00071D2E">
            <w:pPr>
              <w:rPr>
                <w:rFonts w:ascii="Arial" w:hAnsi="Arial" w:cs="Arial"/>
                <w:sz w:val="20"/>
                <w:szCs w:val="20"/>
              </w:rPr>
            </w:pPr>
            <w:r w:rsidRPr="00BF20BB">
              <w:rPr>
                <w:rFonts w:ascii="Arial" w:hAnsi="Arial" w:cs="Arial"/>
                <w:sz w:val="20"/>
                <w:szCs w:val="20"/>
              </w:rPr>
              <w:t>Aerospace economics &amp; management</w:t>
            </w:r>
          </w:p>
        </w:tc>
        <w:tc>
          <w:tcPr>
            <w:tcW w:w="423" w:type="pct"/>
          </w:tcPr>
          <w:p w:rsidR="00B62C8D" w:rsidRDefault="008B3EEB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30" w:type="pct"/>
          </w:tcPr>
          <w:p w:rsidR="00B62C8D" w:rsidRDefault="008F1CD3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8" w:type="pct"/>
          </w:tcPr>
          <w:p w:rsidR="00B62C8D" w:rsidRDefault="00EF60B6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conservation évaluation semestre 1</w:t>
            </w:r>
          </w:p>
        </w:tc>
        <w:tc>
          <w:tcPr>
            <w:tcW w:w="608" w:type="pct"/>
          </w:tcPr>
          <w:p w:rsidR="00B62C8D" w:rsidRDefault="00884387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43" w:type="pct"/>
          </w:tcPr>
          <w:p w:rsidR="00B62C8D" w:rsidRDefault="00884387" w:rsidP="0007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</w:t>
            </w:r>
          </w:p>
        </w:tc>
      </w:tr>
      <w:tr w:rsidR="005654E5" w:rsidTr="00B30B39">
        <w:tc>
          <w:tcPr>
            <w:tcW w:w="302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7A2C1E" w:rsidRDefault="005654E5" w:rsidP="00F62D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Specialized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modules</w:t>
            </w:r>
          </w:p>
        </w:tc>
        <w:tc>
          <w:tcPr>
            <w:tcW w:w="1079" w:type="pct"/>
          </w:tcPr>
          <w:p w:rsidR="007A2C1E" w:rsidRDefault="00EF60B6" w:rsidP="00F62D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Specialized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modules</w:t>
            </w:r>
          </w:p>
        </w:tc>
        <w:tc>
          <w:tcPr>
            <w:tcW w:w="423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30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8" w:type="pct"/>
          </w:tcPr>
          <w:p w:rsidR="007A2C1E" w:rsidRDefault="00EF60B6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Epreuve orale unique</w:t>
            </w:r>
            <w:r w:rsidR="007A2C1E">
              <w:rPr>
                <w:rFonts w:ascii="Arial" w:hAnsi="Arial" w:cs="Arial"/>
                <w:sz w:val="20"/>
                <w:szCs w:val="20"/>
              </w:rPr>
              <w:t xml:space="preserve"> à distance</w:t>
            </w:r>
          </w:p>
        </w:tc>
        <w:tc>
          <w:tcPr>
            <w:tcW w:w="608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43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</w:t>
            </w:r>
          </w:p>
        </w:tc>
      </w:tr>
      <w:tr w:rsidR="005654E5" w:rsidTr="00B30B39">
        <w:trPr>
          <w:trHeight w:val="462"/>
        </w:trPr>
        <w:tc>
          <w:tcPr>
            <w:tcW w:w="302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pct"/>
          </w:tcPr>
          <w:p w:rsidR="007A2C1E" w:rsidRDefault="005654E5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ou projet tuteuré</w:t>
            </w:r>
          </w:p>
        </w:tc>
        <w:tc>
          <w:tcPr>
            <w:tcW w:w="1079" w:type="pct"/>
          </w:tcPr>
          <w:p w:rsidR="007A2C1E" w:rsidRDefault="00EF60B6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ou projet tuteuré</w:t>
            </w:r>
          </w:p>
        </w:tc>
        <w:tc>
          <w:tcPr>
            <w:tcW w:w="423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30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8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Rédaction d’un </w:t>
            </w:r>
            <w:r w:rsidR="00EF60B6">
              <w:rPr>
                <w:rFonts w:ascii="Arial" w:hAnsi="Arial" w:cs="Arial"/>
                <w:sz w:val="20"/>
                <w:szCs w:val="20"/>
              </w:rPr>
              <w:t>Rapport + soutenance</w:t>
            </w:r>
          </w:p>
        </w:tc>
        <w:tc>
          <w:tcPr>
            <w:tcW w:w="608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443" w:type="pct"/>
          </w:tcPr>
          <w:p w:rsidR="007A2C1E" w:rsidRDefault="007A2C1E" w:rsidP="00F62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unique</w:t>
            </w:r>
          </w:p>
        </w:tc>
      </w:tr>
    </w:tbl>
    <w:p w:rsidR="000B34A5" w:rsidRDefault="000B34A5" w:rsidP="000B34A5">
      <w:pPr>
        <w:rPr>
          <w:rFonts w:ascii="Arial" w:hAnsi="Arial" w:cs="Arial"/>
          <w:sz w:val="20"/>
          <w:szCs w:val="20"/>
        </w:rPr>
      </w:pPr>
    </w:p>
    <w:p w:rsidR="005C6C0B" w:rsidRDefault="005C6C0B" w:rsidP="00812920">
      <w:pPr>
        <w:rPr>
          <w:rFonts w:ascii="Arial" w:hAnsi="Arial" w:cs="Arial"/>
          <w:sz w:val="20"/>
          <w:szCs w:val="20"/>
        </w:rPr>
      </w:pPr>
    </w:p>
    <w:p w:rsidR="005C6C0B" w:rsidRDefault="005C6C0B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5C6C0B" w:rsidSect="002A2C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78" w:rsidRDefault="00371A78">
      <w:r>
        <w:separator/>
      </w:r>
    </w:p>
  </w:endnote>
  <w:endnote w:type="continuationSeparator" w:id="0">
    <w:p w:rsidR="00371A78" w:rsidRDefault="0037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C1" w:rsidRDefault="006435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5C1" w:rsidRDefault="006435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C1" w:rsidRDefault="006435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5FC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435C1" w:rsidRPr="00294CF6" w:rsidRDefault="006435C1" w:rsidP="006435C1">
    <w:pPr>
      <w:pStyle w:val="Pidipagina"/>
      <w:ind w:right="360"/>
      <w:rPr>
        <w:rFonts w:ascii="Arial" w:hAnsi="Arial" w:cs="Arial"/>
        <w:sz w:val="18"/>
        <w:szCs w:val="18"/>
      </w:rPr>
    </w:pPr>
    <w:r w:rsidRPr="00294CF6">
      <w:rPr>
        <w:rFonts w:ascii="Arial" w:hAnsi="Arial" w:cs="Arial"/>
        <w:sz w:val="18"/>
        <w:szCs w:val="18"/>
      </w:rPr>
      <w:t>UNIVERSITE TOULOUSE 1 CAPITOLE</w:t>
    </w:r>
  </w:p>
  <w:p w:rsidR="006435C1" w:rsidRPr="00294CF6" w:rsidRDefault="006435C1" w:rsidP="006435C1">
    <w:pPr>
      <w:pStyle w:val="Pidipagina"/>
      <w:ind w:right="360"/>
      <w:rPr>
        <w:rFonts w:ascii="Arial" w:hAnsi="Arial" w:cs="Arial"/>
        <w:sz w:val="18"/>
        <w:szCs w:val="18"/>
      </w:rPr>
    </w:pPr>
    <w:r w:rsidRPr="00294CF6">
      <w:rPr>
        <w:rFonts w:ascii="Arial" w:hAnsi="Arial" w:cs="Arial"/>
        <w:sz w:val="18"/>
        <w:szCs w:val="18"/>
      </w:rPr>
      <w:t xml:space="preserve">2 rue du Doyen Gabriel Marty – 31042 Toulouse cedex 9 – France – Tél 05 61 63 35 </w:t>
    </w:r>
    <w:proofErr w:type="gramStart"/>
    <w:r w:rsidRPr="00294CF6">
      <w:rPr>
        <w:rFonts w:ascii="Arial" w:hAnsi="Arial" w:cs="Arial"/>
        <w:sz w:val="18"/>
        <w:szCs w:val="18"/>
      </w:rPr>
      <w:t>00  Fax</w:t>
    </w:r>
    <w:proofErr w:type="gramEnd"/>
    <w:r w:rsidRPr="00294CF6">
      <w:rPr>
        <w:rFonts w:ascii="Arial" w:hAnsi="Arial" w:cs="Arial"/>
        <w:sz w:val="18"/>
        <w:szCs w:val="18"/>
      </w:rPr>
      <w:t xml:space="preserve"> 05 61 63 37 98 – www-ut.capitole.fr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C1" w:rsidRDefault="006435C1" w:rsidP="006435C1">
    <w:pPr>
      <w:pStyle w:val="Pidipagina"/>
      <w:framePr w:wrap="around" w:vAnchor="text" w:hAnchor="margin" w:xAlign="right" w:y="1"/>
      <w:rPr>
        <w:rStyle w:val="Numeropagina"/>
      </w:rPr>
    </w:pPr>
    <w: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58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435C1" w:rsidRPr="00294CF6" w:rsidRDefault="006435C1" w:rsidP="006435C1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78" w:rsidRDefault="00371A78">
      <w:r>
        <w:separator/>
      </w:r>
    </w:p>
  </w:footnote>
  <w:footnote w:type="continuationSeparator" w:id="0">
    <w:p w:rsidR="00371A78" w:rsidRDefault="0037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C1" w:rsidRDefault="006435C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CC54A7" wp14:editId="39D84ACF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858000" cy="9933305"/>
              <wp:effectExtent l="0" t="5715" r="0" b="508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3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53873" id="Rectangle 2" o:spid="_x0000_s1026" style="position:absolute;margin-left:-45pt;margin-top:-9.55pt;width:540pt;height:78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" stroked="f">
              <v:shadow color="black" opacity="49150f" offset=".74833mm,.74833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87B"/>
    <w:multiLevelType w:val="hybridMultilevel"/>
    <w:tmpl w:val="739CC97A"/>
    <w:lvl w:ilvl="0" w:tplc="C6CACB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3C8C58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BBED8E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6D095E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75C4B5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26623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970432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876FE5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316D24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3387584"/>
    <w:multiLevelType w:val="hybridMultilevel"/>
    <w:tmpl w:val="724E8D92"/>
    <w:lvl w:ilvl="0" w:tplc="516ACE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5F16"/>
    <w:multiLevelType w:val="hybridMultilevel"/>
    <w:tmpl w:val="18D06D74"/>
    <w:lvl w:ilvl="0" w:tplc="7610D1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DF67BD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6A62EE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C7E381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D9CD8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8B65EB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154FA5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10878A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0442C6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728F25E2"/>
    <w:multiLevelType w:val="hybridMultilevel"/>
    <w:tmpl w:val="6A387454"/>
    <w:lvl w:ilvl="0" w:tplc="E3EE9C3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200D95"/>
    <w:multiLevelType w:val="hybridMultilevel"/>
    <w:tmpl w:val="543C136C"/>
    <w:lvl w:ilvl="0" w:tplc="4DCAD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20"/>
    <w:rsid w:val="0004099B"/>
    <w:rsid w:val="00082E09"/>
    <w:rsid w:val="000862EC"/>
    <w:rsid w:val="000B34A5"/>
    <w:rsid w:val="000C5FC2"/>
    <w:rsid w:val="000E0ADF"/>
    <w:rsid w:val="000E3567"/>
    <w:rsid w:val="00127F47"/>
    <w:rsid w:val="001300C8"/>
    <w:rsid w:val="00145E94"/>
    <w:rsid w:val="0017244A"/>
    <w:rsid w:val="00183F5A"/>
    <w:rsid w:val="001B0F80"/>
    <w:rsid w:val="001F0F4B"/>
    <w:rsid w:val="00207B05"/>
    <w:rsid w:val="00234982"/>
    <w:rsid w:val="002409F2"/>
    <w:rsid w:val="0026035A"/>
    <w:rsid w:val="00272189"/>
    <w:rsid w:val="002A2CD7"/>
    <w:rsid w:val="00332E6E"/>
    <w:rsid w:val="0033409B"/>
    <w:rsid w:val="0036220A"/>
    <w:rsid w:val="00371A78"/>
    <w:rsid w:val="00390791"/>
    <w:rsid w:val="003A0E5D"/>
    <w:rsid w:val="0040083E"/>
    <w:rsid w:val="00415E16"/>
    <w:rsid w:val="00415EB5"/>
    <w:rsid w:val="00425158"/>
    <w:rsid w:val="00435975"/>
    <w:rsid w:val="00444991"/>
    <w:rsid w:val="00445A8A"/>
    <w:rsid w:val="004600F1"/>
    <w:rsid w:val="004A44AE"/>
    <w:rsid w:val="004A7AEF"/>
    <w:rsid w:val="004C4354"/>
    <w:rsid w:val="00502B6F"/>
    <w:rsid w:val="005058FF"/>
    <w:rsid w:val="00511407"/>
    <w:rsid w:val="00531293"/>
    <w:rsid w:val="00534DBD"/>
    <w:rsid w:val="005361DE"/>
    <w:rsid w:val="005654E5"/>
    <w:rsid w:val="0057355F"/>
    <w:rsid w:val="005C6C0B"/>
    <w:rsid w:val="005E6A10"/>
    <w:rsid w:val="006008CC"/>
    <w:rsid w:val="006114FF"/>
    <w:rsid w:val="00642200"/>
    <w:rsid w:val="006435C1"/>
    <w:rsid w:val="00671B2B"/>
    <w:rsid w:val="006A5298"/>
    <w:rsid w:val="006B15DF"/>
    <w:rsid w:val="006F0F32"/>
    <w:rsid w:val="00716F46"/>
    <w:rsid w:val="00736D07"/>
    <w:rsid w:val="007801B7"/>
    <w:rsid w:val="007A2C1E"/>
    <w:rsid w:val="00812920"/>
    <w:rsid w:val="00884387"/>
    <w:rsid w:val="008B3B15"/>
    <w:rsid w:val="008B3EEB"/>
    <w:rsid w:val="008B43F7"/>
    <w:rsid w:val="008B74F5"/>
    <w:rsid w:val="008F1CD3"/>
    <w:rsid w:val="008F3773"/>
    <w:rsid w:val="00964597"/>
    <w:rsid w:val="00987ADA"/>
    <w:rsid w:val="00992BEF"/>
    <w:rsid w:val="009A0141"/>
    <w:rsid w:val="009B6AB5"/>
    <w:rsid w:val="00A45611"/>
    <w:rsid w:val="00A83F51"/>
    <w:rsid w:val="00AC7234"/>
    <w:rsid w:val="00AF49C1"/>
    <w:rsid w:val="00B0204B"/>
    <w:rsid w:val="00B04A13"/>
    <w:rsid w:val="00B30B39"/>
    <w:rsid w:val="00B57B5A"/>
    <w:rsid w:val="00B61B85"/>
    <w:rsid w:val="00B62C8D"/>
    <w:rsid w:val="00BE6C19"/>
    <w:rsid w:val="00BF20BB"/>
    <w:rsid w:val="00BF6FB9"/>
    <w:rsid w:val="00C059AB"/>
    <w:rsid w:val="00C20C77"/>
    <w:rsid w:val="00C3680C"/>
    <w:rsid w:val="00C45BEF"/>
    <w:rsid w:val="00C8026B"/>
    <w:rsid w:val="00CD05D8"/>
    <w:rsid w:val="00CE2038"/>
    <w:rsid w:val="00CE3A9F"/>
    <w:rsid w:val="00CE3F78"/>
    <w:rsid w:val="00D052DB"/>
    <w:rsid w:val="00D07B69"/>
    <w:rsid w:val="00D12736"/>
    <w:rsid w:val="00D26DC3"/>
    <w:rsid w:val="00D35022"/>
    <w:rsid w:val="00D42528"/>
    <w:rsid w:val="00D46A88"/>
    <w:rsid w:val="00D65777"/>
    <w:rsid w:val="00D670C1"/>
    <w:rsid w:val="00DF74FD"/>
    <w:rsid w:val="00E3055C"/>
    <w:rsid w:val="00E31F68"/>
    <w:rsid w:val="00E607EF"/>
    <w:rsid w:val="00E7041D"/>
    <w:rsid w:val="00EA442F"/>
    <w:rsid w:val="00EC078B"/>
    <w:rsid w:val="00EF60B6"/>
    <w:rsid w:val="00F201FA"/>
    <w:rsid w:val="00F20377"/>
    <w:rsid w:val="00F271D1"/>
    <w:rsid w:val="00F76170"/>
    <w:rsid w:val="00F82DC3"/>
    <w:rsid w:val="00F86892"/>
    <w:rsid w:val="00FB1350"/>
    <w:rsid w:val="00FC0193"/>
    <w:rsid w:val="00FC3583"/>
    <w:rsid w:val="00FC7398"/>
    <w:rsid w:val="00FD6BBC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E3FA9-6FA6-4811-BCE3-3E597E4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Normal">
    <w:name w:val="CapNormal"/>
    <w:basedOn w:val="Normale"/>
    <w:rsid w:val="00812920"/>
    <w:pPr>
      <w:widowControl w:val="0"/>
      <w:ind w:right="567"/>
    </w:pPr>
    <w:rPr>
      <w:rFonts w:ascii="Arial" w:hAnsi="Arial" w:cs="Arial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81292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4220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200"/>
    <w:rPr>
      <w:rFonts w:ascii="Tahoma" w:eastAsia="Times New Roman" w:hAnsi="Tahoma" w:cs="Tahoma"/>
      <w:sz w:val="16"/>
      <w:szCs w:val="16"/>
      <w:lang w:eastAsia="fr-FR"/>
    </w:rPr>
  </w:style>
  <w:style w:type="table" w:styleId="Grigliatabella">
    <w:name w:val="Table Grid"/>
    <w:basedOn w:val="Tabellanormale"/>
    <w:uiPriority w:val="59"/>
    <w:rsid w:val="0024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E3F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3F7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3F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3F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3F7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Intestazione">
    <w:name w:val="header"/>
    <w:basedOn w:val="Normale"/>
    <w:link w:val="IntestazioneCarattere"/>
    <w:rsid w:val="005C6C0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C6C0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dipagina">
    <w:name w:val="footer"/>
    <w:basedOn w:val="Normale"/>
    <w:link w:val="PidipaginaCarattere"/>
    <w:rsid w:val="005C6C0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C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eropagina">
    <w:name w:val="page number"/>
    <w:basedOn w:val="Carpredefinitoparagrafo"/>
    <w:rsid w:val="005C6C0B"/>
  </w:style>
  <w:style w:type="paragraph" w:customStyle="1" w:styleId="CapPiedDePageL1">
    <w:name w:val="CapPiedDePageL1"/>
    <w:basedOn w:val="Normale"/>
    <w:rsid w:val="005C6C0B"/>
    <w:pPr>
      <w:widowControl w:val="0"/>
      <w:spacing w:before="40" w:after="40"/>
      <w:ind w:right="567"/>
    </w:pPr>
    <w:rPr>
      <w:rFonts w:ascii="Arial Black" w:hAnsi="Arial Black" w:cs="Arial"/>
      <w:color w:val="A41C2C"/>
      <w:spacing w:val="11"/>
      <w:w w:val="101"/>
      <w:sz w:val="1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A0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9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6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8BC-8B3E-4B90-988C-4B6C953A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UT1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BLOCHER</dc:creator>
  <cp:lastModifiedBy>Donatella Mainella</cp:lastModifiedBy>
  <cp:revision>2</cp:revision>
  <dcterms:created xsi:type="dcterms:W3CDTF">2020-05-06T08:46:00Z</dcterms:created>
  <dcterms:modified xsi:type="dcterms:W3CDTF">2020-05-06T08:46:00Z</dcterms:modified>
</cp:coreProperties>
</file>